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9B33" w14:textId="77777777" w:rsidR="008F0874" w:rsidRPr="007741B6" w:rsidRDefault="008F0874" w:rsidP="008F0874">
      <w:pPr>
        <w:jc w:val="center"/>
        <w:rPr>
          <w:rFonts w:eastAsia="Times New Roman" w:cs="Times New Roman"/>
          <w:b/>
          <w:bCs/>
          <w:sz w:val="32"/>
          <w:szCs w:val="32"/>
        </w:rPr>
      </w:pPr>
      <w:r w:rsidRPr="007741B6">
        <w:rPr>
          <w:rFonts w:eastAsia="Times New Roman" w:cs="Times New Roman"/>
          <w:b/>
          <w:bCs/>
          <w:sz w:val="32"/>
          <w:szCs w:val="32"/>
        </w:rPr>
        <w:t>Notice Of Financial Aid Penalties for Drug Law Violations Drug Conviction Policy Disclosure</w:t>
      </w:r>
    </w:p>
    <w:p w14:paraId="4ED2C92B" w14:textId="77777777" w:rsidR="008F0874" w:rsidRPr="008F0874" w:rsidRDefault="008F0874" w:rsidP="007741B6">
      <w:pPr>
        <w:rPr>
          <w:rFonts w:eastAsia="Times New Roman" w:cs="Times New Roman"/>
        </w:rPr>
      </w:pPr>
      <w:r w:rsidRPr="008F0874">
        <w:rPr>
          <w:rFonts w:eastAsia="Times New Roman" w:cs="Times New Roman"/>
        </w:rPr>
        <w:t xml:space="preserve">Montcalm Community College is required to notify all students of the federal regulations and penalties for drug law violation while receiving Title IV funds under the Higher Education Act. MCC is required to provide a timely notice to each student who has lost eligibility for any grant or loan assistance </w:t>
      </w:r>
      <w:proofErr w:type="gramStart"/>
      <w:r w:rsidRPr="008F0874">
        <w:rPr>
          <w:rFonts w:eastAsia="Times New Roman" w:cs="Times New Roman"/>
        </w:rPr>
        <w:t>as a result of</w:t>
      </w:r>
      <w:proofErr w:type="gramEnd"/>
      <w:r w:rsidRPr="008F0874">
        <w:rPr>
          <w:rFonts w:eastAsia="Times New Roman" w:cs="Times New Roman"/>
        </w:rPr>
        <w:t xml:space="preserve"> said penalties. We advise the student of ways in which to regain eligibility. Penalties are only imposed when students are receiving Federal Title IV funds. This notice is being provided to you since you have recently registered for classes at MCC. Please take a moment to read and become familiar with this information. You may direct any questions or concerns to the Financial Aid Office by e-mail at finaid@montcalm.edu.edu or by phone at 989-328-1205. Students Convicted of Possession or Sale of Drugs: If a student, receiving Title IV funding, has been convicted of an offense involving the possession or sale of illegal drugs while enrolled, the student becomes ineligible to receive Title IV funds. If the offense occurred outside of an enrollment period, the student is still eligible to receive funding. When completing the Federal Student Aid (FAFSA) Free Application, students self-certify and respond to questions regarding drug convictions. Should a conviction occur after a student has submitted the FAFSA, the student must notify the Financial Aid Office, immediately. A conviction denotes a conviction that is on a student’s record. A conviction that was reversed, set aside, or removed from the student’s record is not relevant for these purposes. In addition, it is not a determination or adjudication arising out of a juvenile proceeding. An illegal drug is a controlled substance as defined by section 102(6) of the Controlled Substance Act (CSA) (Title 21 of the United States Code section 802) and does not include alcohol or tobacco.</w:t>
      </w:r>
    </w:p>
    <w:tbl>
      <w:tblPr>
        <w:tblStyle w:val="TableGrid"/>
        <w:tblpPr w:leftFromText="180" w:rightFromText="180" w:vertAnchor="page" w:horzAnchor="margin" w:tblpY="8341"/>
        <w:tblW w:w="0" w:type="auto"/>
        <w:tblLook w:val="04A0" w:firstRow="1" w:lastRow="0" w:firstColumn="1" w:lastColumn="0" w:noHBand="0" w:noVBand="1"/>
      </w:tblPr>
      <w:tblGrid>
        <w:gridCol w:w="4323"/>
        <w:gridCol w:w="5027"/>
      </w:tblGrid>
      <w:tr w:rsidR="008F0874" w:rsidRPr="008F0874" w14:paraId="68C2220E" w14:textId="77777777" w:rsidTr="008F0874">
        <w:tc>
          <w:tcPr>
            <w:tcW w:w="4323" w:type="dxa"/>
            <w:shd w:val="clear" w:color="auto" w:fill="538135" w:themeFill="accent6" w:themeFillShade="BF"/>
          </w:tcPr>
          <w:p w14:paraId="01198FFC" w14:textId="77777777" w:rsidR="008F0874" w:rsidRPr="008F0874" w:rsidRDefault="008F0874" w:rsidP="008F0874">
            <w:pPr>
              <w:jc w:val="center"/>
            </w:pPr>
            <w:r w:rsidRPr="008F0874">
              <w:t>Possession Of Illegal Drugs</w:t>
            </w:r>
          </w:p>
        </w:tc>
        <w:tc>
          <w:tcPr>
            <w:tcW w:w="5027" w:type="dxa"/>
            <w:shd w:val="clear" w:color="auto" w:fill="FFFF00"/>
          </w:tcPr>
          <w:p w14:paraId="4CB577CF" w14:textId="77777777" w:rsidR="008F0874" w:rsidRPr="008F0874" w:rsidRDefault="008F0874" w:rsidP="008F0874">
            <w:pPr>
              <w:jc w:val="center"/>
            </w:pPr>
            <w:r w:rsidRPr="008F0874">
              <w:t>Period Of Ineligibility</w:t>
            </w:r>
          </w:p>
        </w:tc>
      </w:tr>
      <w:tr w:rsidR="008F0874" w:rsidRPr="008F0874" w14:paraId="3D885CD7" w14:textId="77777777" w:rsidTr="008F0874">
        <w:tc>
          <w:tcPr>
            <w:tcW w:w="4323" w:type="dxa"/>
          </w:tcPr>
          <w:p w14:paraId="7AA160ED" w14:textId="77777777" w:rsidR="008F0874" w:rsidRPr="008F0874" w:rsidRDefault="008F0874" w:rsidP="008F0874">
            <w:pPr>
              <w:jc w:val="center"/>
            </w:pPr>
            <w:r w:rsidRPr="008F0874">
              <w:t>First Offense</w:t>
            </w:r>
          </w:p>
        </w:tc>
        <w:tc>
          <w:tcPr>
            <w:tcW w:w="5027" w:type="dxa"/>
          </w:tcPr>
          <w:p w14:paraId="1C106F3E" w14:textId="77777777" w:rsidR="008F0874" w:rsidRPr="008F0874" w:rsidRDefault="008F0874" w:rsidP="008F0874">
            <w:pPr>
              <w:jc w:val="center"/>
            </w:pPr>
            <w:r w:rsidRPr="008F0874">
              <w:t>Ineligible for one year after date of conviction</w:t>
            </w:r>
          </w:p>
        </w:tc>
      </w:tr>
      <w:tr w:rsidR="008F0874" w:rsidRPr="008F0874" w14:paraId="553850A3" w14:textId="77777777" w:rsidTr="008F0874">
        <w:tc>
          <w:tcPr>
            <w:tcW w:w="4323" w:type="dxa"/>
          </w:tcPr>
          <w:p w14:paraId="335E6A3D" w14:textId="77777777" w:rsidR="008F0874" w:rsidRPr="008F0874" w:rsidRDefault="008F0874" w:rsidP="008F0874">
            <w:pPr>
              <w:jc w:val="center"/>
            </w:pPr>
            <w:r w:rsidRPr="008F0874">
              <w:t>Second Offense</w:t>
            </w:r>
          </w:p>
        </w:tc>
        <w:tc>
          <w:tcPr>
            <w:tcW w:w="5027" w:type="dxa"/>
          </w:tcPr>
          <w:p w14:paraId="481E8099" w14:textId="77777777" w:rsidR="008F0874" w:rsidRPr="008F0874" w:rsidRDefault="008F0874" w:rsidP="008F0874">
            <w:pPr>
              <w:jc w:val="center"/>
            </w:pPr>
            <w:r w:rsidRPr="008F0874">
              <w:t>Ineligible for two years after the date of second conviction</w:t>
            </w:r>
          </w:p>
        </w:tc>
      </w:tr>
      <w:tr w:rsidR="008F0874" w:rsidRPr="008F0874" w14:paraId="7BC189A5" w14:textId="77777777" w:rsidTr="008F0874">
        <w:tc>
          <w:tcPr>
            <w:tcW w:w="4323" w:type="dxa"/>
          </w:tcPr>
          <w:p w14:paraId="6C7A5BFF" w14:textId="77777777" w:rsidR="008F0874" w:rsidRPr="008F0874" w:rsidRDefault="008F0874" w:rsidP="008F0874">
            <w:pPr>
              <w:jc w:val="center"/>
            </w:pPr>
            <w:r w:rsidRPr="008F0874">
              <w:t>Third Offense</w:t>
            </w:r>
          </w:p>
        </w:tc>
        <w:tc>
          <w:tcPr>
            <w:tcW w:w="5027" w:type="dxa"/>
          </w:tcPr>
          <w:p w14:paraId="2D283D39" w14:textId="77777777" w:rsidR="008F0874" w:rsidRPr="008F0874" w:rsidRDefault="008F0874" w:rsidP="008F0874">
            <w:pPr>
              <w:jc w:val="center"/>
            </w:pPr>
            <w:r w:rsidRPr="008F0874">
              <w:t>Ineligible indefinitely after the date of the third conviction</w:t>
            </w:r>
          </w:p>
        </w:tc>
      </w:tr>
    </w:tbl>
    <w:p w14:paraId="077C6811" w14:textId="77777777" w:rsidR="008F0874" w:rsidRPr="008F0874" w:rsidRDefault="008F0874" w:rsidP="008F0874">
      <w:pPr>
        <w:rPr>
          <w:rFonts w:eastAsia="Times New Roman" w:cs="Times New Roman"/>
        </w:rPr>
      </w:pPr>
      <w:r w:rsidRPr="008F0874">
        <w:rPr>
          <w:rFonts w:eastAsia="Times New Roman" w:cs="Times New Roman"/>
        </w:rPr>
        <w:t>Loss of Eligibility and Penalties:</w:t>
      </w:r>
    </w:p>
    <w:p w14:paraId="4AB107CD" w14:textId="77777777" w:rsidR="008F0874" w:rsidRPr="008F0874" w:rsidRDefault="008F0874" w:rsidP="008F0874">
      <w:pPr>
        <w:jc w:val="center"/>
        <w:rPr>
          <w:rFonts w:eastAsia="Times New Roman" w:cs="Times New Roman"/>
        </w:rPr>
      </w:pPr>
    </w:p>
    <w:tbl>
      <w:tblPr>
        <w:tblStyle w:val="TableGrid"/>
        <w:tblpPr w:leftFromText="180" w:rightFromText="180" w:vertAnchor="text" w:horzAnchor="margin" w:tblpY="158"/>
        <w:tblW w:w="0" w:type="auto"/>
        <w:tblLook w:val="04A0" w:firstRow="1" w:lastRow="0" w:firstColumn="1" w:lastColumn="0" w:noHBand="0" w:noVBand="1"/>
      </w:tblPr>
      <w:tblGrid>
        <w:gridCol w:w="4313"/>
        <w:gridCol w:w="5037"/>
      </w:tblGrid>
      <w:tr w:rsidR="008F0874" w:rsidRPr="008F0874" w14:paraId="29F8C549" w14:textId="77777777" w:rsidTr="008F0874">
        <w:trPr>
          <w:trHeight w:val="328"/>
        </w:trPr>
        <w:tc>
          <w:tcPr>
            <w:tcW w:w="4313" w:type="dxa"/>
            <w:shd w:val="clear" w:color="auto" w:fill="538135" w:themeFill="accent6" w:themeFillShade="BF"/>
          </w:tcPr>
          <w:p w14:paraId="72CB1B47" w14:textId="77777777" w:rsidR="008F0874" w:rsidRPr="008F0874" w:rsidRDefault="008F0874" w:rsidP="008F0874">
            <w:pPr>
              <w:jc w:val="center"/>
            </w:pPr>
            <w:r w:rsidRPr="008F0874">
              <w:t>Sale of Illegal Drugs</w:t>
            </w:r>
          </w:p>
        </w:tc>
        <w:tc>
          <w:tcPr>
            <w:tcW w:w="5037" w:type="dxa"/>
            <w:shd w:val="clear" w:color="auto" w:fill="FFFF00"/>
          </w:tcPr>
          <w:p w14:paraId="74E2558C" w14:textId="77777777" w:rsidR="008F0874" w:rsidRPr="008F0874" w:rsidRDefault="008F0874" w:rsidP="008F0874">
            <w:pPr>
              <w:jc w:val="center"/>
            </w:pPr>
            <w:r w:rsidRPr="008F0874">
              <w:t>Period of Ineligibility</w:t>
            </w:r>
          </w:p>
        </w:tc>
      </w:tr>
      <w:tr w:rsidR="008F0874" w:rsidRPr="008F0874" w14:paraId="38CD342A" w14:textId="77777777" w:rsidTr="008F0874">
        <w:trPr>
          <w:trHeight w:val="314"/>
        </w:trPr>
        <w:tc>
          <w:tcPr>
            <w:tcW w:w="4313" w:type="dxa"/>
          </w:tcPr>
          <w:p w14:paraId="47B54AE0" w14:textId="77777777" w:rsidR="008F0874" w:rsidRPr="008F0874" w:rsidRDefault="008F0874" w:rsidP="008F0874">
            <w:pPr>
              <w:jc w:val="center"/>
            </w:pPr>
            <w:r w:rsidRPr="008F0874">
              <w:t>First Offense</w:t>
            </w:r>
          </w:p>
        </w:tc>
        <w:tc>
          <w:tcPr>
            <w:tcW w:w="5037" w:type="dxa"/>
          </w:tcPr>
          <w:p w14:paraId="1106468C" w14:textId="77777777" w:rsidR="008F0874" w:rsidRPr="008F0874" w:rsidRDefault="008F0874" w:rsidP="008F0874">
            <w:pPr>
              <w:jc w:val="center"/>
            </w:pPr>
            <w:r w:rsidRPr="008F0874">
              <w:t>Ineligible for two years after the date of conviction</w:t>
            </w:r>
          </w:p>
        </w:tc>
      </w:tr>
      <w:tr w:rsidR="008F0874" w:rsidRPr="008F0874" w14:paraId="2BFF99C3" w14:textId="77777777" w:rsidTr="008F0874">
        <w:trPr>
          <w:trHeight w:val="314"/>
        </w:trPr>
        <w:tc>
          <w:tcPr>
            <w:tcW w:w="4313" w:type="dxa"/>
          </w:tcPr>
          <w:p w14:paraId="3356F7CA" w14:textId="77777777" w:rsidR="008F0874" w:rsidRPr="008F0874" w:rsidRDefault="008F0874" w:rsidP="008F0874">
            <w:pPr>
              <w:jc w:val="center"/>
            </w:pPr>
            <w:r w:rsidRPr="008F0874">
              <w:t>Second Offense</w:t>
            </w:r>
          </w:p>
        </w:tc>
        <w:tc>
          <w:tcPr>
            <w:tcW w:w="5037" w:type="dxa"/>
          </w:tcPr>
          <w:p w14:paraId="2A6CD3A1" w14:textId="77777777" w:rsidR="008F0874" w:rsidRPr="008F0874" w:rsidRDefault="008F0874" w:rsidP="008F0874">
            <w:pPr>
              <w:jc w:val="center"/>
            </w:pPr>
            <w:r w:rsidRPr="008F0874">
              <w:t>Ineligible indefinitely after the date of conviction</w:t>
            </w:r>
          </w:p>
        </w:tc>
      </w:tr>
    </w:tbl>
    <w:p w14:paraId="06A98414" w14:textId="77777777" w:rsidR="008F0874" w:rsidRPr="008F0874" w:rsidRDefault="008F0874" w:rsidP="008F0874">
      <w:pPr>
        <w:jc w:val="center"/>
        <w:rPr>
          <w:rFonts w:eastAsia="Times New Roman" w:cs="Times New Roman"/>
        </w:rPr>
      </w:pPr>
    </w:p>
    <w:p w14:paraId="415D8816" w14:textId="466F2E38" w:rsidR="008F0874" w:rsidRPr="008F0874" w:rsidRDefault="007741B6" w:rsidP="008F0874">
      <w:pPr>
        <w:rPr>
          <w:rFonts w:eastAsia="Times New Roman" w:cs="Times New Roman"/>
        </w:rPr>
      </w:pPr>
      <w:r w:rsidRPr="008F0874">
        <w:rPr>
          <w:rFonts w:eastAsia="Times New Roman" w:cs="Times New Roman"/>
        </w:rPr>
        <w:t>If</w:t>
      </w:r>
      <w:r w:rsidR="008F0874" w:rsidRPr="008F0874">
        <w:rPr>
          <w:rFonts w:eastAsia="Times New Roman" w:cs="Times New Roman"/>
        </w:rPr>
        <w:t xml:space="preserve"> a student is convicted of both, </w:t>
      </w:r>
      <w:proofErr w:type="gramStart"/>
      <w:r w:rsidR="008F0874" w:rsidRPr="008F0874">
        <w:rPr>
          <w:rFonts w:eastAsia="Times New Roman" w:cs="Times New Roman"/>
        </w:rPr>
        <w:t>possessing</w:t>
      </w:r>
      <w:proofErr w:type="gramEnd"/>
      <w:r w:rsidR="008F0874" w:rsidRPr="008F0874">
        <w:rPr>
          <w:rFonts w:eastAsia="Times New Roman" w:cs="Times New Roman"/>
        </w:rPr>
        <w:t xml:space="preserve"> and selling illegal drugs and the periods of ineligibility differ, it will result in the longer period of ineligibility. OFFICE STUDENT OVERSIGHT, OFFICE OF REGISTRAR, &amp; FINANCIAL AID DRUG CONVICTION POLICY: 1-2017 </w:t>
      </w:r>
    </w:p>
    <w:p w14:paraId="3C3A9C25" w14:textId="77777777" w:rsidR="008F0874" w:rsidRPr="008F0874" w:rsidRDefault="008F0874" w:rsidP="008F0874">
      <w:pPr>
        <w:rPr>
          <w:rFonts w:eastAsia="Times New Roman" w:cs="Times New Roman"/>
        </w:rPr>
      </w:pPr>
      <w:r w:rsidRPr="008F0874">
        <w:rPr>
          <w:rFonts w:eastAsia="Times New Roman" w:cs="Times New Roman"/>
          <w:b/>
          <w:bCs/>
        </w:rPr>
        <w:t>Notice After Loss Eligibility</w:t>
      </w:r>
    </w:p>
    <w:p w14:paraId="2F84FD5A" w14:textId="77777777" w:rsidR="008F0874" w:rsidRPr="008F0874" w:rsidRDefault="008F0874" w:rsidP="008F0874">
      <w:pPr>
        <w:rPr>
          <w:rFonts w:eastAsia="Times New Roman" w:cs="Times New Roman"/>
        </w:rPr>
      </w:pPr>
      <w:r w:rsidRPr="008F0874">
        <w:rPr>
          <w:rFonts w:eastAsia="Times New Roman" w:cs="Times New Roman"/>
        </w:rPr>
        <w:lastRenderedPageBreak/>
        <w:t>Students who become ineligible for financial aid due to a drug related conviction will receive written notification from the Financial Aid Office, via e-mail to their student email account, advising of the loss. Information will also be provided on ways in which eligibility can be regained.</w:t>
      </w:r>
    </w:p>
    <w:p w14:paraId="1BF82B3B" w14:textId="77777777" w:rsidR="008F0874" w:rsidRPr="008F0874" w:rsidRDefault="008F0874" w:rsidP="008F0874">
      <w:pPr>
        <w:rPr>
          <w:rFonts w:eastAsia="Times New Roman" w:cs="Times New Roman"/>
          <w:b/>
          <w:bCs/>
        </w:rPr>
      </w:pPr>
      <w:r w:rsidRPr="008F0874">
        <w:rPr>
          <w:rFonts w:eastAsia="Times New Roman" w:cs="Times New Roman"/>
          <w:b/>
          <w:bCs/>
        </w:rPr>
        <w:t>How to Regain Eligibility</w:t>
      </w:r>
    </w:p>
    <w:p w14:paraId="1A9F3F7E" w14:textId="77777777" w:rsidR="008F0874" w:rsidRPr="008F0874" w:rsidRDefault="008F0874" w:rsidP="008F0874">
      <w:pPr>
        <w:rPr>
          <w:rFonts w:eastAsia="Times New Roman" w:cs="Times New Roman"/>
        </w:rPr>
      </w:pPr>
      <w:r w:rsidRPr="008F0874">
        <w:rPr>
          <w:rFonts w:eastAsia="Times New Roman" w:cs="Times New Roman"/>
        </w:rPr>
        <w:t xml:space="preserve">A student regains eligibility the day after the period of ineligibility ends or when they successfully complete a qualified drug rehabilitation program. Additional drug related convictions will render a student ineligible again. </w:t>
      </w:r>
    </w:p>
    <w:p w14:paraId="6A537C11" w14:textId="77777777" w:rsidR="008F0874" w:rsidRPr="008F0874" w:rsidRDefault="008F0874" w:rsidP="008F0874">
      <w:pPr>
        <w:rPr>
          <w:rFonts w:eastAsia="Times New Roman" w:cs="Times New Roman"/>
        </w:rPr>
      </w:pPr>
      <w:r w:rsidRPr="008F0874">
        <w:rPr>
          <w:rFonts w:eastAsia="Times New Roman" w:cs="Times New Roman"/>
        </w:rPr>
        <w:t xml:space="preserve">A student who successfully completes a drug rehabilitation program following their most recent drug conviction, regains eligibility on the date of the Program completion. A drug rehabilitation program is one that: </w:t>
      </w:r>
    </w:p>
    <w:p w14:paraId="1FCB9A54" w14:textId="5DC0E870" w:rsidR="008F0874" w:rsidRPr="008F0874" w:rsidRDefault="008F0874" w:rsidP="008F0874">
      <w:pPr>
        <w:rPr>
          <w:rFonts w:eastAsia="Times New Roman" w:cs="Times New Roman"/>
        </w:rPr>
      </w:pPr>
      <w:r w:rsidRPr="008F0874">
        <w:rPr>
          <w:rFonts w:eastAsia="Times New Roman" w:cs="Times New Roman"/>
        </w:rPr>
        <w:t xml:space="preserve">• Includes at least two unannounced drug tests and </w:t>
      </w:r>
    </w:p>
    <w:p w14:paraId="60EC4F8C" w14:textId="4F5728B1" w:rsidR="008F0874" w:rsidRPr="008F0874" w:rsidRDefault="008F0874" w:rsidP="008F0874">
      <w:pPr>
        <w:rPr>
          <w:rFonts w:eastAsia="Times New Roman" w:cs="Times New Roman"/>
        </w:rPr>
      </w:pPr>
      <w:r w:rsidRPr="008F0874">
        <w:rPr>
          <w:rFonts w:eastAsia="Times New Roman" w:cs="Times New Roman"/>
        </w:rPr>
        <w:t xml:space="preserve">• Has received or is qualified to receive funds directly or indirectly under a Federal, State or Local government </w:t>
      </w:r>
      <w:r w:rsidR="007741B6" w:rsidRPr="008F0874">
        <w:rPr>
          <w:rFonts w:eastAsia="Times New Roman" w:cs="Times New Roman"/>
        </w:rPr>
        <w:t>program.</w:t>
      </w:r>
      <w:r w:rsidRPr="008F0874">
        <w:rPr>
          <w:rFonts w:eastAsia="Times New Roman" w:cs="Times New Roman"/>
        </w:rPr>
        <w:t xml:space="preserve"> </w:t>
      </w:r>
    </w:p>
    <w:p w14:paraId="64B48F30" w14:textId="4EA28A4A" w:rsidR="008F0874" w:rsidRPr="008F0874" w:rsidRDefault="008F0874" w:rsidP="008F0874">
      <w:pPr>
        <w:rPr>
          <w:rFonts w:eastAsia="Times New Roman" w:cs="Times New Roman"/>
        </w:rPr>
      </w:pPr>
      <w:r w:rsidRPr="008F0874">
        <w:rPr>
          <w:rFonts w:eastAsia="Times New Roman" w:cs="Times New Roman"/>
        </w:rPr>
        <w:t xml:space="preserve">• Is administered or recognized by a Federal, State, or Local government agency or court </w:t>
      </w:r>
    </w:p>
    <w:p w14:paraId="7DE622C3" w14:textId="77777777" w:rsidR="008F0874" w:rsidRPr="008F0874" w:rsidRDefault="008F0874" w:rsidP="008F0874">
      <w:pPr>
        <w:rPr>
          <w:rFonts w:eastAsia="Times New Roman" w:cs="Times New Roman"/>
        </w:rPr>
      </w:pPr>
      <w:r w:rsidRPr="008F0874">
        <w:rPr>
          <w:rFonts w:eastAsia="Times New Roman" w:cs="Times New Roman"/>
        </w:rPr>
        <w:t xml:space="preserve">• Has received or is qualified to receive payment directly or indirectly from a Federally or State licensed insurance company, or </w:t>
      </w:r>
    </w:p>
    <w:p w14:paraId="00D09C7D" w14:textId="77777777" w:rsidR="008F0874" w:rsidRPr="008F0874" w:rsidRDefault="008F0874" w:rsidP="008F0874">
      <w:pPr>
        <w:rPr>
          <w:rFonts w:eastAsia="Times New Roman" w:cs="Times New Roman"/>
        </w:rPr>
      </w:pPr>
      <w:r w:rsidRPr="008F0874">
        <w:rPr>
          <w:rFonts w:eastAsia="Times New Roman" w:cs="Times New Roman"/>
        </w:rPr>
        <w:t xml:space="preserve">• Is administered or recognized by a Federally or State licensed hospital, health clinic or medical doctor. </w:t>
      </w:r>
    </w:p>
    <w:p w14:paraId="5E100E72" w14:textId="77777777" w:rsidR="008F0874" w:rsidRPr="008F0874" w:rsidRDefault="008F0874" w:rsidP="008F0874">
      <w:pPr>
        <w:rPr>
          <w:rFonts w:eastAsia="Times New Roman" w:cs="Times New Roman"/>
          <w:b/>
          <w:bCs/>
        </w:rPr>
      </w:pPr>
      <w:r w:rsidRPr="008F0874">
        <w:rPr>
          <w:rFonts w:eastAsia="Times New Roman" w:cs="Times New Roman"/>
          <w:b/>
          <w:bCs/>
        </w:rPr>
        <w:t xml:space="preserve">Additional Information </w:t>
      </w:r>
    </w:p>
    <w:p w14:paraId="29071D9C" w14:textId="035A74D5" w:rsidR="008F0874" w:rsidRPr="008F0874" w:rsidRDefault="008F0874" w:rsidP="008F0874">
      <w:pPr>
        <w:rPr>
          <w:rFonts w:eastAsia="Times New Roman" w:cs="Times New Roman"/>
        </w:rPr>
      </w:pPr>
      <w:r w:rsidRPr="3849E63B">
        <w:rPr>
          <w:rFonts w:eastAsia="Times New Roman" w:cs="Times New Roman"/>
        </w:rPr>
        <w:t>For more information</w:t>
      </w:r>
      <w:r w:rsidR="48243222" w:rsidRPr="3849E63B">
        <w:rPr>
          <w:rFonts w:eastAsia="Times New Roman" w:cs="Times New Roman"/>
        </w:rPr>
        <w:t xml:space="preserve"> on</w:t>
      </w:r>
      <w:r w:rsidRPr="3849E63B">
        <w:rPr>
          <w:rFonts w:eastAsia="Times New Roman" w:cs="Times New Roman"/>
        </w:rPr>
        <w:t xml:space="preserve"> the Higher Education Act as it pertains to drug law violations please see: </w:t>
      </w:r>
      <w:hyperlink r:id="rId4">
        <w:r w:rsidRPr="3849E63B">
          <w:rPr>
            <w:rFonts w:eastAsia="Times New Roman" w:cs="Times New Roman"/>
            <w:color w:val="0563C1"/>
            <w:u w:val="single"/>
          </w:rPr>
          <w:t>https://www.ecfr.gov/current/title-34/subtitle-B/chapter-VI/part-668/subpart-C/section-668.40</w:t>
        </w:r>
      </w:hyperlink>
    </w:p>
    <w:p w14:paraId="1107A1B9" w14:textId="77777777" w:rsidR="008F0874" w:rsidRPr="008F0874" w:rsidRDefault="008F0874" w:rsidP="008F0874">
      <w:pPr>
        <w:rPr>
          <w:rFonts w:eastAsia="Times New Roman" w:cs="Times New Roman"/>
        </w:rPr>
      </w:pPr>
    </w:p>
    <w:p w14:paraId="17413D02" w14:textId="77777777" w:rsidR="00CB7E36" w:rsidRDefault="00CB7E36"/>
    <w:sectPr w:rsidR="00CB7E36" w:rsidSect="00EF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74"/>
    <w:rsid w:val="007741B6"/>
    <w:rsid w:val="008F0874"/>
    <w:rsid w:val="00AC21A8"/>
    <w:rsid w:val="00B05D5B"/>
    <w:rsid w:val="00CB7E36"/>
    <w:rsid w:val="3849E63B"/>
    <w:rsid w:val="4824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85B3"/>
  <w15:chartTrackingRefBased/>
  <w15:docId w15:val="{F837BFF1-9C9C-45AB-AB03-705BBDF7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87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urrent/title-34/subtitle-B/chapter-VI/part-668/subpart-C/section-66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3707</Characters>
  <Application>Microsoft Office Word</Application>
  <DocSecurity>0</DocSecurity>
  <Lines>30</Lines>
  <Paragraphs>8</Paragraphs>
  <ScaleCrop>false</ScaleCrop>
  <Company>Montcalm Community College</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Daller</dc:creator>
  <cp:keywords/>
  <dc:description/>
  <cp:lastModifiedBy>Lexie Barnwell</cp:lastModifiedBy>
  <cp:revision>3</cp:revision>
  <dcterms:created xsi:type="dcterms:W3CDTF">2022-10-06T18:25:00Z</dcterms:created>
  <dcterms:modified xsi:type="dcterms:W3CDTF">2022-10-07T12:15:00Z</dcterms:modified>
</cp:coreProperties>
</file>